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32"/>
          <w:szCs w:val="32"/>
        </w:rPr>
      </w:pPr>
      <w:r>
        <w:rPr>
          <w:rFonts w:hint="eastAsia" w:ascii="黑体" w:hAnsi="黑体" w:eastAsia="黑体" w:cs="黑体"/>
          <w:sz w:val="32"/>
          <w:szCs w:val="32"/>
        </w:rPr>
        <w:t>2022年</w:t>
      </w:r>
      <w:r>
        <w:rPr>
          <w:rFonts w:hint="eastAsia" w:ascii="黑体" w:hAnsi="黑体" w:eastAsia="黑体" w:cs="黑体"/>
          <w:sz w:val="32"/>
          <w:szCs w:val="32"/>
          <w:lang w:val="en-US" w:eastAsia="zh-CN"/>
        </w:rPr>
        <w:t>申请</w:t>
      </w:r>
      <w:r>
        <w:rPr>
          <w:rFonts w:hint="eastAsia" w:ascii="黑体" w:hAnsi="黑体" w:eastAsia="黑体" w:cs="黑体"/>
          <w:sz w:val="32"/>
          <w:szCs w:val="32"/>
        </w:rPr>
        <w:t>成人学士学位广东高校联盟外语水平考试</w:t>
      </w:r>
    </w:p>
    <w:p>
      <w:pPr>
        <w:jc w:val="center"/>
        <w:rPr>
          <w:rFonts w:hint="eastAsia" w:ascii="黑体" w:hAnsi="黑体" w:eastAsia="黑体" w:cs="黑体"/>
          <w:sz w:val="32"/>
          <w:szCs w:val="32"/>
        </w:rPr>
      </w:pPr>
      <w:r>
        <w:rPr>
          <w:rFonts w:hint="eastAsia" w:ascii="黑体" w:hAnsi="黑体" w:eastAsia="黑体" w:cs="黑体"/>
          <w:sz w:val="32"/>
          <w:szCs w:val="32"/>
        </w:rPr>
        <w:t>应考疫情防控须知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sz w:val="28"/>
          <w:szCs w:val="28"/>
        </w:rPr>
      </w:pPr>
    </w:p>
    <w:p>
      <w:pPr>
        <w:jc w:val="center"/>
        <w:rPr>
          <w:rFonts w:ascii="黑体" w:hAnsi="黑体" w:eastAsia="黑体"/>
          <w:b/>
          <w:color w:val="FF0000"/>
          <w:sz w:val="36"/>
          <w:szCs w:val="36"/>
          <w:u w:val="single"/>
        </w:rPr>
      </w:pPr>
      <w:r>
        <w:rPr>
          <w:rFonts w:hint="eastAsia" w:ascii="黑体" w:hAnsi="黑体" w:eastAsia="黑体"/>
          <w:b/>
          <w:color w:val="FF0000"/>
          <w:sz w:val="36"/>
          <w:szCs w:val="36"/>
          <w:u w:val="single"/>
        </w:rPr>
        <w:t>若疫情有变化，考试将根据疫情的变化做动态调整。</w:t>
      </w: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rPr>
      </w:pPr>
      <w:r>
        <w:rPr>
          <w:rFonts w:hint="eastAsia"/>
          <w:sz w:val="28"/>
          <w:szCs w:val="28"/>
        </w:rPr>
        <w:t>为确保广大参考人员的生命健康安全，确保考生顺利赴考，请所有考生知悉以下防疫工作要求并遵照执行。</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一、所有考生须注册“粤（穗）康码”（以下简称“粤康码”）。“粤康码”非绿码的考生，应及时到相关部门核实。</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二、考生须进行考前14天自我健康观察，每日如实填写考前14天个人健康信息申报表（见附件1），并在参加考试时提交考点工作人员。</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三、考生应了解考点所在地疫情防控相关要求，考前14天非必要不离开考点所在地级市。所有考生须按照考点属地政府疫情防控政策执行。</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b/>
          <w:bCs/>
          <w:sz w:val="28"/>
          <w:szCs w:val="28"/>
          <w:lang w:val="en-US" w:eastAsia="zh-CN"/>
        </w:rPr>
      </w:pPr>
      <w:r>
        <w:rPr>
          <w:rFonts w:hint="eastAsia"/>
          <w:sz w:val="28"/>
          <w:szCs w:val="28"/>
          <w:lang w:val="en-US" w:eastAsia="zh-CN"/>
        </w:rPr>
        <w:t>四、所有考生进入考点时，必须粤康码为绿码，提供本次考试当日48小时内核酸检测阴性证明，现场测量体温正常（体温&lt;37.3℃)。</w:t>
      </w:r>
      <w:r>
        <w:rPr>
          <w:rFonts w:hint="eastAsia"/>
          <w:b/>
          <w:bCs/>
          <w:sz w:val="28"/>
          <w:szCs w:val="28"/>
          <w:lang w:val="en-US" w:eastAsia="zh-CN"/>
        </w:rPr>
        <w:t>粤康码为绿码，行程卡带星号（非中、高风险区）的考生，需提供考前三天两检阴性证明，现场测量体温正常（体温&lt;37.3℃)。</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五、考生有以下情况之一的，不得参加考试。</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（一）正处于隔离治疗期的确诊病例、无症状感染者，以及隔离期未满的密切接触者、密切接触者的密切接触者；</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（二）考前14天内，有广东省内中、高风险地区旅居史，有省外疫情中、高风险地区所在县或当地政府宣布全域封闭管理地区旅居史的；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（三）粤康码为红码或黄码的；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（四）不能提供考前48小时内核酸检测阴性证明的；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（五）现场测量体温不正常（体温≥37.3℃），在临时观察区适当休息后，再次测量体温仍然不正常的;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（六）不符合考点所在地地级市政府疫情防控政策相关要求的；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（七）其他情况由现场卫生防疫人员研判后认定为不能够参加考试的。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六、考生进入考点时均要佩戴一次性医用或以上级别口罩，向考点工作人员出示手机上的“粤康码”绿码，接受准考证、身份证、“粤康码”“行程卡”核查，提交健康信息申报表。进入考场前将手机放在指定地方。</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进入考场后，出现身体异常情况的考生，应根据医疗卫生专业人员指引，先在临时观察区进行复核评估后作下一步处置，经医疗卫生专业人员专业评估，在保障广大考生和考试工作人员生命安全和身体健康前提下，综合研判是否具备正常参加考试的条件，具备参加考试条件的，由专人引导前往备用隔离考场；不具备参加考试条件的，不安排参加考试。</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七、考生进入考场前应用速干手消毒剂进行手消毒或者洗手；进入备用隔离考场的，必须用速干手消毒剂进行手消毒，且考试过程应全程佩戴口罩。</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八、</w:t>
      </w:r>
      <w:r>
        <w:rPr>
          <w:rFonts w:hint="eastAsia"/>
          <w:sz w:val="28"/>
          <w:szCs w:val="28"/>
        </w:rPr>
        <w:t>考生须自备一次性医用口罩或医用外科口罩，除进行人脸识别等必要的身份验证程序外，考试期间须全程规范佩戴口罩。</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九、考试结束后，考生要按监考员的指令有序离场，保持人员间距，减少交谈。考点可安排各考场错峰离场。</w:t>
      </w: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eastAsia"/>
          <w:b/>
          <w:bCs/>
          <w:sz w:val="28"/>
          <w:szCs w:val="28"/>
          <w:lang w:val="en-US" w:eastAsia="zh-CN"/>
        </w:rPr>
      </w:pPr>
      <w:r>
        <w:rPr>
          <w:rFonts w:hint="eastAsia"/>
          <w:b/>
          <w:bCs/>
          <w:sz w:val="28"/>
          <w:szCs w:val="28"/>
          <w:highlight w:val="none"/>
          <w:lang w:val="en-US" w:eastAsia="zh-CN"/>
        </w:rPr>
        <w:t>十、</w:t>
      </w:r>
      <w:r>
        <w:rPr>
          <w:rFonts w:hint="eastAsia"/>
          <w:b/>
          <w:bCs/>
          <w:sz w:val="28"/>
          <w:szCs w:val="28"/>
          <w:highlight w:val="none"/>
        </w:rPr>
        <w:t>因防疫政策会根据疫情制定及调整，考生考前须密切关注</w:t>
      </w:r>
      <w:r>
        <w:rPr>
          <w:rFonts w:hint="eastAsia"/>
          <w:b/>
          <w:bCs/>
          <w:sz w:val="28"/>
          <w:szCs w:val="28"/>
          <w:highlight w:val="none"/>
          <w:lang w:val="en-US" w:eastAsia="zh-CN"/>
        </w:rPr>
        <w:t>学校和</w:t>
      </w:r>
      <w:r>
        <w:rPr>
          <w:rFonts w:hint="eastAsia"/>
          <w:b/>
          <w:bCs/>
          <w:sz w:val="28"/>
          <w:szCs w:val="28"/>
          <w:lang w:val="en-US" w:eastAsia="zh-CN"/>
        </w:rPr>
        <w:t>考点所在地考试机构及考点的相关通知公告，并按照具体要求执行。</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sz w:val="28"/>
          <w:szCs w:val="28"/>
          <w:lang w:val="en-US" w:eastAsia="zh-CN"/>
        </w:rPr>
      </w:pPr>
      <w:r>
        <w:rPr>
          <w:rFonts w:hint="eastAsia"/>
          <w:sz w:val="28"/>
          <w:szCs w:val="28"/>
          <w:lang w:val="en-US" w:eastAsia="zh-CN"/>
        </w:rPr>
        <w:t>十一、考生报考2022年学士学位外语水平考试因疫情防控需要而未能参加考试退费相关事宜：</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sz w:val="28"/>
          <w:szCs w:val="28"/>
          <w:lang w:val="en-US" w:eastAsia="zh-CN"/>
        </w:rPr>
      </w:pPr>
      <w:r>
        <w:rPr>
          <w:rFonts w:hint="eastAsia"/>
          <w:sz w:val="28"/>
          <w:szCs w:val="28"/>
          <w:lang w:val="en-US" w:eastAsia="zh-CN"/>
        </w:rPr>
        <w:t>（一）申请退费条件：</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1、正处于隔离治疗期的确诊病例、无症状感染者，以及隔离期未满的密切接触者、密切接触者的密切接触者；</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rPr>
          <w:rFonts w:hint="eastAsia"/>
          <w:sz w:val="28"/>
          <w:szCs w:val="28"/>
          <w:lang w:val="en-US" w:eastAsia="zh-CN"/>
        </w:rPr>
      </w:pPr>
      <w:r>
        <w:rPr>
          <w:rFonts w:hint="eastAsia"/>
          <w:sz w:val="28"/>
          <w:szCs w:val="28"/>
          <w:lang w:val="en-US" w:eastAsia="zh-CN"/>
        </w:rPr>
        <w:t>2、考前14天内，有广东省内中、高风险地区旅居史，有省外疫情中、高风险地区所在县或当地政府宣布全域封闭管理地区旅居史的；</w:t>
      </w:r>
    </w:p>
    <w:p>
      <w:pPr>
        <w:pStyle w:val="2"/>
        <w:keepNext w:val="0"/>
        <w:keepLines w:val="0"/>
        <w:pageBreakBefore w:val="0"/>
        <w:widowControl w:val="0"/>
        <w:kinsoku/>
        <w:wordWrap/>
        <w:overflowPunct/>
        <w:topLinePunct w:val="0"/>
        <w:autoSpaceDE/>
        <w:autoSpaceDN/>
        <w:bidi w:val="0"/>
        <w:adjustRightInd/>
        <w:snapToGrid/>
        <w:spacing w:line="520" w:lineRule="exact"/>
        <w:rPr>
          <w:rFonts w:hint="eastAsia"/>
          <w:lang w:val="en-US" w:eastAsia="zh-CN"/>
        </w:rPr>
      </w:pPr>
      <w:r>
        <w:rPr>
          <w:rFonts w:hint="eastAsia"/>
          <w:sz w:val="28"/>
          <w:szCs w:val="28"/>
          <w:lang w:val="en-US" w:eastAsia="zh-CN"/>
        </w:rPr>
        <w:t>3、不符合考点所在地地级市政府疫情防控政策相关要求的；</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rPr>
          <w:rFonts w:hint="eastAsia"/>
          <w:sz w:val="28"/>
          <w:szCs w:val="28"/>
          <w:lang w:val="en-US" w:eastAsia="zh-CN"/>
        </w:rPr>
      </w:pPr>
      <w:r>
        <w:rPr>
          <w:rFonts w:hint="eastAsia"/>
          <w:sz w:val="28"/>
          <w:szCs w:val="28"/>
          <w:lang w:val="en-US" w:eastAsia="zh-CN"/>
        </w:rPr>
        <w:t>（以上三点提交防疫部门、街道(居委)或单位(学校)出具的隔离证明，如健康码信息有相关文字，也可提交作为证明材料。）</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4、粤康码为红码或黄码的；（</w:t>
      </w:r>
      <w:r>
        <w:rPr>
          <w:rFonts w:hint="eastAsia"/>
          <w:sz w:val="28"/>
          <w:szCs w:val="28"/>
        </w:rPr>
        <w:t>提供</w:t>
      </w:r>
      <w:r>
        <w:rPr>
          <w:rFonts w:hint="eastAsia"/>
          <w:sz w:val="28"/>
          <w:szCs w:val="28"/>
          <w:lang w:val="en-US" w:eastAsia="zh-CN"/>
        </w:rPr>
        <w:t>考试前一日或考试当日</w:t>
      </w:r>
      <w:r>
        <w:rPr>
          <w:rFonts w:hint="eastAsia"/>
          <w:sz w:val="28"/>
          <w:szCs w:val="28"/>
        </w:rPr>
        <w:t>非绿健康码彩色截图</w:t>
      </w:r>
      <w:r>
        <w:rPr>
          <w:rFonts w:hint="eastAsia"/>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5、因注射新冠疫苗无法提供考前48小时内核酸检测阴性证明的；（</w:t>
      </w:r>
      <w:r>
        <w:rPr>
          <w:rFonts w:hint="eastAsia"/>
          <w:sz w:val="28"/>
          <w:szCs w:val="28"/>
        </w:rPr>
        <w:t>提交注射新冠疫苗证明</w:t>
      </w:r>
      <w:r>
        <w:rPr>
          <w:rFonts w:hint="eastAsia"/>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6、现场测量体温不正常（体温≥37.3℃），在临时观察区适当休息后，再次测量体温仍然不正常的；其他情况由现场卫生防疫人员研判后认定为不能够参加考试的。（由考点学校确认现场名单）</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（二）考生退费申请所需资料:</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1、提供退费人本人身份证复印件，</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sz w:val="28"/>
          <w:szCs w:val="28"/>
          <w:lang w:val="en-US" w:eastAsia="zh-CN"/>
        </w:rPr>
      </w:pPr>
      <w:r>
        <w:rPr>
          <w:rFonts w:hint="eastAsia"/>
          <w:sz w:val="28"/>
          <w:szCs w:val="28"/>
          <w:lang w:val="en-US" w:eastAsia="zh-CN"/>
        </w:rPr>
        <w:t>2、考生本人银行卡复印件并在银行卡复件上注明：开户名称、银行卡账号、开户行地址（请具体到支行，如：广东省广州市中国银行广州黄石东支行）。</w:t>
      </w:r>
      <w:r>
        <w:rPr>
          <w:rFonts w:hint="eastAsia"/>
          <w:b/>
          <w:bCs/>
          <w:sz w:val="28"/>
          <w:szCs w:val="28"/>
          <w:lang w:val="en-US" w:eastAsia="zh-CN"/>
        </w:rPr>
        <w:t>考生需确认提交的银行卡正常办理转入转出业务。</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Theme="minorHAnsi" w:hAnsiTheme="minorHAnsi" w:eastAsiaTheme="minorEastAsia" w:cstheme="minorBidi"/>
          <w:kern w:val="2"/>
          <w:sz w:val="28"/>
          <w:szCs w:val="28"/>
          <w:lang w:val="en-US" w:eastAsia="zh-CN" w:bidi="ar-SA"/>
        </w:rPr>
      </w:pPr>
      <w:r>
        <w:rPr>
          <w:rFonts w:hint="eastAsia"/>
          <w:sz w:val="28"/>
          <w:szCs w:val="28"/>
          <w:lang w:val="en-US" w:eastAsia="zh-CN"/>
        </w:rPr>
        <w:t>3、考生联系电话。</w:t>
      </w:r>
    </w:p>
    <w:p>
      <w:pPr>
        <w:pStyle w:val="2"/>
        <w:rPr>
          <w:rFonts w:hint="eastAsia"/>
          <w:sz w:val="28"/>
          <w:szCs w:val="28"/>
          <w:lang w:val="en-US" w:eastAsia="zh-CN"/>
        </w:rPr>
      </w:pPr>
      <w:r>
        <w:rPr>
          <w:rFonts w:hint="eastAsia" w:asciiTheme="minorHAnsi" w:hAnsiTheme="minorHAnsi" w:eastAsiaTheme="minorEastAsia" w:cstheme="minorBidi"/>
          <w:kern w:val="2"/>
          <w:sz w:val="28"/>
          <w:szCs w:val="28"/>
          <w:lang w:val="en-US" w:eastAsia="zh-CN" w:bidi="ar-SA"/>
        </w:rPr>
        <w:t>备注：为了减少银行汇款失败率，最好选择四大行“中国银行、中国建设银行、中国工商银行、中国农业银行”</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default"/>
          <w:b/>
          <w:bCs/>
          <w:sz w:val="28"/>
          <w:szCs w:val="28"/>
          <w:highlight w:val="yellow"/>
          <w:lang w:val="en-US" w:eastAsia="zh-CN"/>
        </w:rPr>
      </w:pPr>
      <w:r>
        <w:rPr>
          <w:rFonts w:hint="eastAsia"/>
          <w:b/>
          <w:bCs/>
          <w:sz w:val="28"/>
          <w:szCs w:val="28"/>
          <w:highlight w:val="yellow"/>
          <w:lang w:val="en-US" w:eastAsia="zh-CN"/>
        </w:rPr>
        <w:t>5月15日考试退费时间及流程：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（三）考生退费申请时间：</w:t>
      </w:r>
      <w:r>
        <w:rPr>
          <w:rFonts w:hint="eastAsia"/>
          <w:sz w:val="28"/>
          <w:szCs w:val="28"/>
          <w:highlight w:val="yellow"/>
          <w:lang w:val="en-US" w:eastAsia="zh-CN"/>
        </w:rPr>
        <w:t>2022年5月15-19</w:t>
      </w:r>
      <w:bookmarkStart w:id="0" w:name="_GoBack"/>
      <w:bookmarkEnd w:id="0"/>
      <w:r>
        <w:rPr>
          <w:rFonts w:hint="eastAsia"/>
          <w:sz w:val="28"/>
          <w:szCs w:val="28"/>
          <w:highlight w:val="yellow"/>
          <w:lang w:val="en-US" w:eastAsia="zh-CN"/>
        </w:rPr>
        <w:t>日</w:t>
      </w:r>
      <w:r>
        <w:rPr>
          <w:rFonts w:hint="eastAsia"/>
          <w:sz w:val="28"/>
          <w:szCs w:val="28"/>
          <w:lang w:val="en-US" w:eastAsia="zh-CN"/>
        </w:rPr>
        <w:t>20：00前提出申请</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（四）退费申请流程：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1、考生通过系统向所在主考院校提交退费申请，提交所需验核资料（包括退费条件相关证明和考生退费申请所需资料）；</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2、</w:t>
      </w:r>
      <w:r>
        <w:rPr>
          <w:rFonts w:hint="eastAsia"/>
          <w:sz w:val="28"/>
          <w:szCs w:val="28"/>
          <w:highlight w:val="yellow"/>
          <w:lang w:val="en-US" w:eastAsia="zh-CN"/>
        </w:rPr>
        <w:t>5月18-20日</w:t>
      </w:r>
      <w:r>
        <w:rPr>
          <w:rFonts w:hint="eastAsia"/>
          <w:sz w:val="28"/>
          <w:szCs w:val="28"/>
          <w:lang w:val="en-US" w:eastAsia="zh-CN"/>
        </w:rPr>
        <w:t>主考院校认真审核考生是否符合退费要求，并校对考生提交资料是否清晰完整，方可在系统通过审核；</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3、系统在5月23日按考点生成退费汇总名单和考生退费申请所需资料的扫描件（按考生姓名准考证号码建文件夹保存材料）</w:t>
      </w:r>
    </w:p>
    <w:p>
      <w:pPr>
        <w:pStyle w:val="2"/>
        <w:keepNext w:val="0"/>
        <w:keepLines w:val="0"/>
        <w:pageBreakBefore w:val="0"/>
        <w:widowControl w:val="0"/>
        <w:kinsoku/>
        <w:wordWrap/>
        <w:overflowPunct/>
        <w:topLinePunct w:val="0"/>
        <w:autoSpaceDE/>
        <w:autoSpaceDN/>
        <w:bidi w:val="0"/>
        <w:adjustRightInd/>
        <w:snapToGrid/>
        <w:spacing w:line="520" w:lineRule="exact"/>
        <w:rPr>
          <w:rFonts w:hint="eastAsia"/>
          <w:sz w:val="28"/>
          <w:szCs w:val="28"/>
          <w:lang w:val="en-US" w:eastAsia="zh-CN"/>
        </w:rPr>
      </w:pPr>
      <w:r>
        <w:rPr>
          <w:rFonts w:hint="eastAsia"/>
          <w:sz w:val="28"/>
          <w:szCs w:val="28"/>
          <w:lang w:val="en-US" w:eastAsia="zh-CN"/>
        </w:rPr>
        <w:t>4、联盟工作组在收到退费资料2周的工作日时间内退至考生银行账户。</w:t>
      </w:r>
    </w:p>
    <w:p>
      <w:pPr>
        <w:keepNext w:val="0"/>
        <w:keepLines w:val="0"/>
        <w:pageBreakBefore w:val="0"/>
        <w:widowControl w:val="0"/>
        <w:kinsoku/>
        <w:wordWrap/>
        <w:overflowPunct/>
        <w:topLinePunct w:val="0"/>
        <w:autoSpaceDE/>
        <w:autoSpaceDN/>
        <w:bidi w:val="0"/>
        <w:adjustRightInd/>
        <w:snapToGrid/>
        <w:spacing w:line="520" w:lineRule="exact"/>
        <w:rPr>
          <w:rFonts w:hint="default"/>
          <w:lang w:val="en-US" w:eastAsia="zh-CN"/>
        </w:rPr>
      </w:pPr>
      <w:r>
        <w:rPr>
          <w:rFonts w:hint="eastAsia"/>
          <w:sz w:val="28"/>
          <w:szCs w:val="28"/>
          <w:lang w:val="en-US" w:eastAsia="zh-CN"/>
        </w:rPr>
        <w:t xml:space="preserve">    5、退费处理完毕后，录入退费结果状态。考生可以立即在考生端看到。</w:t>
      </w: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eastAsia"/>
          <w:b/>
          <w:bCs/>
          <w:sz w:val="28"/>
          <w:szCs w:val="28"/>
          <w:highlight w:val="yellow"/>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default"/>
          <w:b/>
          <w:bCs/>
          <w:sz w:val="28"/>
          <w:szCs w:val="28"/>
          <w:highlight w:val="yellow"/>
          <w:lang w:val="en-US" w:eastAsia="zh-CN"/>
        </w:rPr>
      </w:pPr>
      <w:r>
        <w:rPr>
          <w:rFonts w:hint="eastAsia"/>
          <w:b/>
          <w:bCs/>
          <w:sz w:val="28"/>
          <w:szCs w:val="28"/>
          <w:highlight w:val="yellow"/>
          <w:lang w:val="en-US" w:eastAsia="zh-CN"/>
        </w:rPr>
        <w:t>5月28日考试退费时间及流程：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（三）考生退费申请时间：</w:t>
      </w:r>
      <w:r>
        <w:rPr>
          <w:rFonts w:hint="eastAsia"/>
          <w:sz w:val="28"/>
          <w:szCs w:val="28"/>
          <w:highlight w:val="yellow"/>
          <w:lang w:val="en-US" w:eastAsia="zh-CN"/>
        </w:rPr>
        <w:t>2022年5月28-31日</w:t>
      </w:r>
      <w:r>
        <w:rPr>
          <w:rFonts w:hint="eastAsia"/>
          <w:sz w:val="28"/>
          <w:szCs w:val="28"/>
          <w:lang w:val="en-US" w:eastAsia="zh-CN"/>
        </w:rPr>
        <w:t>20：00前提出申请</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（四）退费申请流程：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1、考生通过系统向所在主考院校提交退费申请，提交所需验核资料（包括退费条件相关证明和考生退费申请所需资料）；</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2、</w:t>
      </w:r>
      <w:r>
        <w:rPr>
          <w:rFonts w:hint="eastAsia"/>
          <w:sz w:val="28"/>
          <w:szCs w:val="28"/>
          <w:highlight w:val="yellow"/>
          <w:lang w:val="en-US" w:eastAsia="zh-CN"/>
        </w:rPr>
        <w:t>6月1-3日</w:t>
      </w:r>
      <w:r>
        <w:rPr>
          <w:rFonts w:hint="eastAsia"/>
          <w:sz w:val="28"/>
          <w:szCs w:val="28"/>
          <w:lang w:val="en-US" w:eastAsia="zh-CN"/>
        </w:rPr>
        <w:t>主考院校认真审核考生是否符合退费要求，并校对考生提交资料是否清晰完整，方可在系统通过审核；</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sz w:val="28"/>
          <w:szCs w:val="28"/>
          <w:lang w:val="en-US" w:eastAsia="zh-CN"/>
        </w:rPr>
      </w:pPr>
      <w:r>
        <w:rPr>
          <w:rFonts w:hint="eastAsia"/>
          <w:sz w:val="28"/>
          <w:szCs w:val="28"/>
          <w:lang w:val="en-US" w:eastAsia="zh-CN"/>
        </w:rPr>
        <w:t>3、系统在6月4日按考点生成退费汇总名单和考生退费申请所需资料的扫描件（按考生姓名准考证号码建文件夹保存材料）</w:t>
      </w:r>
    </w:p>
    <w:p>
      <w:pPr>
        <w:pStyle w:val="2"/>
        <w:keepNext w:val="0"/>
        <w:keepLines w:val="0"/>
        <w:pageBreakBefore w:val="0"/>
        <w:widowControl w:val="0"/>
        <w:kinsoku/>
        <w:wordWrap/>
        <w:overflowPunct/>
        <w:topLinePunct w:val="0"/>
        <w:autoSpaceDE/>
        <w:autoSpaceDN/>
        <w:bidi w:val="0"/>
        <w:adjustRightInd/>
        <w:snapToGrid/>
        <w:spacing w:line="520" w:lineRule="exact"/>
        <w:rPr>
          <w:rFonts w:hint="eastAsia"/>
          <w:sz w:val="28"/>
          <w:szCs w:val="28"/>
          <w:lang w:val="en-US" w:eastAsia="zh-CN"/>
        </w:rPr>
      </w:pPr>
      <w:r>
        <w:rPr>
          <w:rFonts w:hint="eastAsia"/>
          <w:sz w:val="28"/>
          <w:szCs w:val="28"/>
          <w:lang w:val="en-US" w:eastAsia="zh-CN"/>
        </w:rPr>
        <w:t>4、联盟工作组在收到退费资料2周的工作日时间内退至考生银行账户。</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rPr>
          <w:rFonts w:hint="eastAsia"/>
          <w:sz w:val="28"/>
          <w:szCs w:val="28"/>
          <w:lang w:val="en-US" w:eastAsia="zh-CN"/>
        </w:rPr>
      </w:pPr>
      <w:r>
        <w:rPr>
          <w:rFonts w:hint="eastAsia"/>
          <w:sz w:val="28"/>
          <w:szCs w:val="28"/>
          <w:lang w:val="en-US" w:eastAsia="zh-CN"/>
        </w:rPr>
        <w:t>5、退费处理完毕后，录入退费结果状态。考生可以立即在考生端看到。</w:t>
      </w: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pStyle w:val="2"/>
        <w:rPr>
          <w:rFonts w:hint="default"/>
          <w:lang w:val="en-US" w:eastAsia="zh-CN"/>
        </w:rPr>
      </w:pPr>
    </w:p>
    <w:p>
      <w:pPr>
        <w:rPr>
          <w:rFonts w:hint="default"/>
          <w:lang w:val="en-US" w:eastAsia="zh-CN"/>
        </w:rPr>
      </w:pPr>
    </w:p>
    <w:p>
      <w:pPr>
        <w:adjustRightInd/>
        <w:snapToGrid w:val="0"/>
        <w:spacing w:beforeLines="0" w:afterLines="0" w:line="500" w:lineRule="exact"/>
        <w:jc w:val="both"/>
        <w:rPr>
          <w:rFonts w:hint="default" w:ascii="Times New Roman" w:hAnsi="Times New Roman" w:eastAsia="方正小标宋简体"/>
          <w:color w:val="auto"/>
          <w:sz w:val="40"/>
          <w:szCs w:val="44"/>
          <w:lang w:val="en-US" w:eastAsia="zh-CN"/>
        </w:rPr>
      </w:pPr>
      <w:r>
        <w:rPr>
          <w:rFonts w:hint="eastAsia" w:ascii="Times New Roman" w:hAnsi="Times New Roman" w:eastAsia="方正小标宋简体"/>
          <w:color w:val="auto"/>
          <w:sz w:val="40"/>
          <w:szCs w:val="44"/>
          <w:lang w:val="en-US" w:eastAsia="zh-CN"/>
        </w:rPr>
        <w:t>附件（5月15日考试）</w:t>
      </w:r>
    </w:p>
    <w:p>
      <w:pPr>
        <w:adjustRightInd/>
        <w:snapToGrid w:val="0"/>
        <w:spacing w:beforeLines="0" w:afterLines="0" w:line="500" w:lineRule="exact"/>
        <w:jc w:val="center"/>
        <w:rPr>
          <w:rFonts w:hint="eastAsia" w:ascii="黑体" w:hAnsi="黑体" w:eastAsia="黑体" w:cs="黑体"/>
          <w:sz w:val="32"/>
          <w:szCs w:val="32"/>
        </w:rPr>
      </w:pPr>
      <w:r>
        <w:rPr>
          <w:rFonts w:hint="eastAsia" w:ascii="黑体" w:hAnsi="黑体" w:eastAsia="黑体" w:cs="黑体"/>
          <w:sz w:val="32"/>
          <w:szCs w:val="32"/>
        </w:rPr>
        <w:t>2022年</w:t>
      </w:r>
      <w:r>
        <w:rPr>
          <w:rFonts w:hint="eastAsia" w:ascii="黑体" w:hAnsi="黑体" w:eastAsia="黑体" w:cs="黑体"/>
          <w:sz w:val="32"/>
          <w:szCs w:val="32"/>
          <w:lang w:val="en-US" w:eastAsia="zh-CN"/>
        </w:rPr>
        <w:t>申请</w:t>
      </w:r>
      <w:r>
        <w:rPr>
          <w:rFonts w:hint="eastAsia" w:ascii="黑体" w:hAnsi="黑体" w:eastAsia="黑体" w:cs="黑体"/>
          <w:sz w:val="32"/>
          <w:szCs w:val="32"/>
        </w:rPr>
        <w:t>成人学士学位广东高校联盟外语水平考试</w:t>
      </w:r>
    </w:p>
    <w:p>
      <w:pPr>
        <w:adjustRightInd/>
        <w:snapToGrid w:val="0"/>
        <w:spacing w:beforeLines="0" w:afterLines="0" w:line="500" w:lineRule="exact"/>
        <w:jc w:val="center"/>
        <w:rPr>
          <w:rFonts w:hint="eastAsia" w:ascii="黑体" w:hAnsi="黑体" w:eastAsia="黑体" w:cs="黑体"/>
          <w:sz w:val="32"/>
          <w:szCs w:val="32"/>
        </w:rPr>
      </w:pPr>
      <w:r>
        <w:rPr>
          <w:rFonts w:hint="eastAsia" w:ascii="黑体" w:hAnsi="黑体" w:eastAsia="黑体" w:cs="黑体"/>
          <w:sz w:val="32"/>
          <w:szCs w:val="32"/>
        </w:rPr>
        <w:t>健康信息申报表</w:t>
      </w:r>
    </w:p>
    <w:p>
      <w:pPr>
        <w:snapToGrid w:val="0"/>
        <w:spacing w:line="500" w:lineRule="exact"/>
        <w:jc w:val="left"/>
        <w:rPr>
          <w:rFonts w:ascii="Times New Roman" w:hAnsi="Times New Roman" w:eastAsia="黑体"/>
          <w:sz w:val="24"/>
          <w:szCs w:val="24"/>
        </w:rPr>
      </w:pPr>
    </w:p>
    <w:p>
      <w:pPr>
        <w:snapToGrid w:val="0"/>
        <w:spacing w:line="500" w:lineRule="exact"/>
        <w:jc w:val="left"/>
        <w:rPr>
          <w:rFonts w:ascii="Times New Roman" w:hAnsi="Times New Roman" w:eastAsia="黑体"/>
          <w:sz w:val="24"/>
          <w:szCs w:val="24"/>
          <w:u w:val="single"/>
        </w:rPr>
      </w:pPr>
      <w:r>
        <w:rPr>
          <w:rFonts w:ascii="Times New Roman" w:hAnsi="Times New Roman" w:eastAsia="黑体"/>
          <w:sz w:val="24"/>
          <w:szCs w:val="24"/>
        </w:rPr>
        <w:t>姓名（签名）：</w:t>
      </w:r>
      <w:r>
        <w:rPr>
          <w:rFonts w:ascii="Times New Roman" w:hAnsi="Times New Roman" w:eastAsia="黑体"/>
          <w:sz w:val="24"/>
          <w:szCs w:val="24"/>
          <w:u w:val="single"/>
        </w:rPr>
        <w:t xml:space="preserve">                      </w:t>
      </w:r>
      <w:r>
        <w:rPr>
          <w:rFonts w:ascii="Times New Roman" w:hAnsi="Times New Roman" w:eastAsia="黑体"/>
          <w:sz w:val="24"/>
          <w:szCs w:val="24"/>
        </w:rPr>
        <w:t>身份证号码：</w:t>
      </w:r>
      <w:r>
        <w:rPr>
          <w:rFonts w:ascii="Times New Roman" w:hAnsi="Times New Roman" w:eastAsia="黑体"/>
          <w:sz w:val="24"/>
          <w:szCs w:val="24"/>
          <w:u w:val="single"/>
        </w:rPr>
        <w:t xml:space="preserve">                    </w:t>
      </w:r>
    </w:p>
    <w:p>
      <w:pPr>
        <w:snapToGrid w:val="0"/>
        <w:spacing w:line="500" w:lineRule="exact"/>
        <w:jc w:val="left"/>
        <w:rPr>
          <w:rFonts w:ascii="Times New Roman" w:hAnsi="Times New Roman" w:eastAsia="黑体"/>
          <w:sz w:val="24"/>
          <w:szCs w:val="24"/>
          <w:u w:val="single"/>
        </w:rPr>
      </w:pPr>
      <w:r>
        <w:rPr>
          <w:rFonts w:ascii="Times New Roman" w:hAnsi="Times New Roman" w:eastAsia="黑体"/>
          <w:sz w:val="24"/>
          <w:szCs w:val="24"/>
        </w:rPr>
        <w:t>准考证号码：</w:t>
      </w:r>
      <w:r>
        <w:rPr>
          <w:rFonts w:ascii="Times New Roman" w:hAnsi="Times New Roman" w:eastAsia="黑体"/>
          <w:sz w:val="24"/>
          <w:szCs w:val="24"/>
          <w:u w:val="single"/>
        </w:rPr>
        <w:t xml:space="preserve">                      </w:t>
      </w:r>
      <w:r>
        <w:rPr>
          <w:rFonts w:ascii="Times New Roman" w:hAnsi="Times New Roman" w:eastAsia="黑体"/>
          <w:sz w:val="24"/>
          <w:szCs w:val="24"/>
        </w:rPr>
        <w:t xml:space="preserve"> 联系电话：</w:t>
      </w:r>
      <w:r>
        <w:rPr>
          <w:rFonts w:ascii="Times New Roman" w:hAnsi="Times New Roman" w:eastAsia="黑体"/>
          <w:sz w:val="24"/>
          <w:szCs w:val="24"/>
          <w:u w:val="single"/>
        </w:rPr>
        <w:t xml:space="preserve">                      </w:t>
      </w:r>
    </w:p>
    <w:p>
      <w:pPr>
        <w:pStyle w:val="2"/>
      </w:pPr>
    </w:p>
    <w:tbl>
      <w:tblPr>
        <w:tblStyle w:val="9"/>
        <w:tblW w:w="10020" w:type="dxa"/>
        <w:jc w:val="center"/>
        <w:tblLayout w:type="fixed"/>
        <w:tblCellMar>
          <w:top w:w="15" w:type="dxa"/>
          <w:left w:w="15" w:type="dxa"/>
          <w:bottom w:w="15" w:type="dxa"/>
          <w:right w:w="15" w:type="dxa"/>
        </w:tblCellMar>
      </w:tblPr>
      <w:tblGrid>
        <w:gridCol w:w="529"/>
        <w:gridCol w:w="975"/>
        <w:gridCol w:w="568"/>
        <w:gridCol w:w="2833"/>
        <w:gridCol w:w="1335"/>
        <w:gridCol w:w="720"/>
        <w:gridCol w:w="2009"/>
        <w:gridCol w:w="1051"/>
      </w:tblGrid>
      <w:tr>
        <w:tblPrEx>
          <w:tblCellMar>
            <w:top w:w="15" w:type="dxa"/>
            <w:left w:w="15" w:type="dxa"/>
            <w:bottom w:w="15" w:type="dxa"/>
            <w:right w:w="15" w:type="dxa"/>
          </w:tblCellMar>
        </w:tblPrEx>
        <w:trPr>
          <w:trHeight w:val="236" w:hRule="atLeast"/>
          <w:tblHeader/>
          <w:jc w:val="center"/>
        </w:trPr>
        <w:tc>
          <w:tcPr>
            <w:tcW w:w="52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序号</w:t>
            </w:r>
          </w:p>
        </w:tc>
        <w:tc>
          <w:tcPr>
            <w:tcW w:w="97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日期</w:t>
            </w:r>
          </w:p>
        </w:tc>
        <w:tc>
          <w:tcPr>
            <w:tcW w:w="3401"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健康信息</w:t>
            </w:r>
          </w:p>
        </w:tc>
        <w:tc>
          <w:tcPr>
            <w:tcW w:w="4064"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行程记录</w:t>
            </w:r>
          </w:p>
        </w:tc>
        <w:tc>
          <w:tcPr>
            <w:tcW w:w="105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 w:val="20"/>
                <w:szCs w:val="20"/>
              </w:rPr>
            </w:pPr>
            <w:r>
              <w:rPr>
                <w:rFonts w:ascii="Times New Roman" w:hAnsi="Times New Roman" w:eastAsia="黑体"/>
                <w:kern w:val="0"/>
                <w:szCs w:val="20"/>
                <w:lang w:bidi="ar"/>
              </w:rPr>
              <w:t>14天内是否与确诊病例接触</w:t>
            </w:r>
          </w:p>
        </w:tc>
      </w:tr>
      <w:tr>
        <w:tblPrEx>
          <w:tblCellMar>
            <w:top w:w="15" w:type="dxa"/>
            <w:left w:w="15" w:type="dxa"/>
            <w:bottom w:w="15" w:type="dxa"/>
            <w:right w:w="15" w:type="dxa"/>
          </w:tblCellMar>
        </w:tblPrEx>
        <w:trPr>
          <w:trHeight w:val="531" w:hRule="atLeast"/>
          <w:tblHeader/>
          <w:jc w:val="center"/>
        </w:trPr>
        <w:tc>
          <w:tcPr>
            <w:tcW w:w="529"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975"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3401"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是否离开过</w:t>
            </w:r>
            <w:r>
              <w:rPr>
                <w:rFonts w:hint="eastAsia" w:ascii="Times New Roman" w:hAnsi="Times New Roman" w:eastAsia="黑体"/>
                <w:kern w:val="0"/>
                <w:szCs w:val="20"/>
                <w:lang w:eastAsia="zh-CN" w:bidi="ar"/>
              </w:rPr>
              <w:t>考点所在地级市</w:t>
            </w:r>
          </w:p>
        </w:tc>
        <w:tc>
          <w:tcPr>
            <w:tcW w:w="2729"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kern w:val="0"/>
                <w:szCs w:val="20"/>
                <w:lang w:bidi="ar"/>
              </w:rPr>
            </w:pPr>
            <w:r>
              <w:rPr>
                <w:rFonts w:ascii="Times New Roman" w:hAnsi="Times New Roman" w:eastAsia="黑体"/>
                <w:kern w:val="0"/>
                <w:szCs w:val="20"/>
                <w:lang w:bidi="ar"/>
              </w:rPr>
              <w:t>是否去过疫情高、中风险及</w:t>
            </w:r>
          </w:p>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重点地区</w:t>
            </w:r>
          </w:p>
        </w:tc>
        <w:tc>
          <w:tcPr>
            <w:tcW w:w="1051"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仿宋_GB2312"/>
                <w:b/>
                <w:sz w:val="20"/>
                <w:szCs w:val="20"/>
              </w:rPr>
            </w:pPr>
          </w:p>
        </w:tc>
      </w:tr>
      <w:tr>
        <w:tblPrEx>
          <w:tblCellMar>
            <w:top w:w="15" w:type="dxa"/>
            <w:left w:w="15" w:type="dxa"/>
            <w:bottom w:w="15" w:type="dxa"/>
            <w:right w:w="15" w:type="dxa"/>
          </w:tblCellMar>
        </w:tblPrEx>
        <w:trPr>
          <w:trHeight w:val="54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2</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7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3</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3</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1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4</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4</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3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5</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6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6</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6</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7</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7</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9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8</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8</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5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9</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9</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10</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10</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8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11</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11</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6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12</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12</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8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13</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13</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9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14</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14</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32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r>
    </w:tbl>
    <w:p>
      <w:pPr>
        <w:pStyle w:val="2"/>
        <w:snapToGrid w:val="0"/>
        <w:spacing w:beforeLines="0" w:afterLines="0" w:line="360" w:lineRule="exact"/>
        <w:ind w:left="0" w:leftChars="0" w:firstLine="0" w:firstLineChars="0"/>
        <w:jc w:val="left"/>
        <w:rPr>
          <w:rFonts w:ascii="Times New Roman" w:hAnsi="Times New Roman" w:eastAsia="宋体"/>
          <w:sz w:val="21"/>
        </w:rPr>
      </w:pPr>
      <w:r>
        <w:rPr>
          <w:rFonts w:ascii="Times New Roman" w:hAnsi="Times New Roman" w:eastAsia="仿宋_GB2312"/>
          <w:sz w:val="24"/>
        </w:rPr>
        <w:t>注: 1.考生须认真、如实申报，在相应的</w:t>
      </w:r>
      <w:r>
        <w:rPr>
          <w:rFonts w:ascii="Times New Roman" w:hAnsi="Times New Roman"/>
          <w:kern w:val="0"/>
          <w:sz w:val="20"/>
          <w:szCs w:val="20"/>
          <w:lang w:bidi="ar"/>
        </w:rPr>
        <w:t>□内打√</w:t>
      </w:r>
      <w:r>
        <w:rPr>
          <w:rFonts w:ascii="Times New Roman" w:hAnsi="Times New Roman" w:eastAsia="仿宋_GB2312"/>
          <w:sz w:val="24"/>
        </w:rPr>
        <w:t>。如出现感冒样症状，喘憋、呼吸急促恶心呕吐、腹泻，心慌、胸闷，结膜炎以及其他异常的须如实填写信息情况。</w:t>
      </w:r>
    </w:p>
    <w:p>
      <w:pPr>
        <w:numPr>
          <w:ilvl w:val="0"/>
          <w:numId w:val="1"/>
        </w:numPr>
        <w:adjustRightInd w:val="0"/>
        <w:snapToGrid w:val="0"/>
        <w:spacing w:beforeLines="0" w:afterLines="0" w:line="360" w:lineRule="exact"/>
        <w:ind w:firstLine="480" w:firstLineChars="200"/>
        <w:jc w:val="left"/>
        <w:rPr>
          <w:rFonts w:ascii="Times New Roman" w:hAnsi="Times New Roman" w:eastAsia="仿宋_GB2312"/>
          <w:sz w:val="24"/>
        </w:rPr>
      </w:pPr>
      <w:r>
        <w:rPr>
          <w:rFonts w:ascii="Times New Roman" w:hAnsi="Times New Roman" w:eastAsia="仿宋_GB2312"/>
          <w:sz w:val="24"/>
        </w:rPr>
        <w:t>考生应自行打印、填写本申报表，</w:t>
      </w:r>
      <w:r>
        <w:rPr>
          <w:rFonts w:hint="eastAsia" w:ascii="Times New Roman" w:hAnsi="Times New Roman" w:eastAsia="仿宋_GB2312"/>
          <w:sz w:val="24"/>
          <w:lang w:eastAsia="zh-CN"/>
        </w:rPr>
        <w:t>进入考试</w:t>
      </w:r>
      <w:r>
        <w:rPr>
          <w:rFonts w:ascii="Times New Roman" w:hAnsi="Times New Roman" w:eastAsia="仿宋_GB2312"/>
          <w:sz w:val="24"/>
        </w:rPr>
        <w:t>考点时</w:t>
      </w:r>
      <w:r>
        <w:rPr>
          <w:rFonts w:hint="eastAsia" w:ascii="Times New Roman" w:hAnsi="Times New Roman" w:eastAsia="仿宋_GB2312"/>
          <w:sz w:val="24"/>
          <w:lang w:eastAsia="zh-CN"/>
        </w:rPr>
        <w:t>，须</w:t>
      </w:r>
      <w:r>
        <w:rPr>
          <w:rFonts w:ascii="Times New Roman" w:hAnsi="Times New Roman" w:eastAsia="仿宋_GB2312"/>
          <w:sz w:val="24"/>
        </w:rPr>
        <w:t>向</w:t>
      </w:r>
      <w:r>
        <w:rPr>
          <w:rFonts w:hint="eastAsia" w:ascii="Times New Roman" w:hAnsi="Times New Roman" w:eastAsia="仿宋_GB2312"/>
          <w:sz w:val="24"/>
          <w:lang w:eastAsia="zh-CN"/>
        </w:rPr>
        <w:t>考点</w:t>
      </w:r>
      <w:r>
        <w:rPr>
          <w:rFonts w:ascii="Times New Roman" w:hAnsi="Times New Roman" w:eastAsia="仿宋_GB2312"/>
          <w:sz w:val="24"/>
        </w:rPr>
        <w:t>工作人员提</w:t>
      </w:r>
      <w:r>
        <w:rPr>
          <w:rFonts w:hint="eastAsia" w:ascii="Times New Roman" w:hAnsi="Times New Roman" w:eastAsia="仿宋_GB2312"/>
          <w:sz w:val="24"/>
          <w:lang w:eastAsia="zh-CN"/>
        </w:rPr>
        <w:t>交本申报表</w:t>
      </w:r>
      <w:r>
        <w:rPr>
          <w:rFonts w:ascii="Times New Roman" w:hAnsi="Times New Roman" w:eastAsia="仿宋_GB2312"/>
          <w:sz w:val="24"/>
        </w:rPr>
        <w:t>。</w:t>
      </w:r>
    </w:p>
    <w:p>
      <w:pPr>
        <w:pStyle w:val="2"/>
        <w:widowControl w:val="0"/>
        <w:numPr>
          <w:ilvl w:val="0"/>
          <w:numId w:val="0"/>
        </w:numPr>
        <w:jc w:val="both"/>
        <w:textAlignment w:val="baseline"/>
        <w:rPr>
          <w:rFonts w:hint="eastAsia"/>
        </w:rPr>
      </w:pPr>
    </w:p>
    <w:p>
      <w:pPr>
        <w:adjustRightInd/>
        <w:snapToGrid w:val="0"/>
        <w:spacing w:beforeLines="0" w:afterLines="0" w:line="500" w:lineRule="exact"/>
        <w:jc w:val="both"/>
        <w:rPr>
          <w:rFonts w:hint="default" w:ascii="Times New Roman" w:hAnsi="Times New Roman" w:eastAsia="方正小标宋简体"/>
          <w:color w:val="auto"/>
          <w:sz w:val="40"/>
          <w:szCs w:val="44"/>
          <w:lang w:val="en-US" w:eastAsia="zh-CN"/>
        </w:rPr>
      </w:pPr>
      <w:r>
        <w:rPr>
          <w:rFonts w:hint="eastAsia" w:ascii="Times New Roman" w:hAnsi="Times New Roman" w:eastAsia="方正小标宋简体"/>
          <w:color w:val="auto"/>
          <w:sz w:val="40"/>
          <w:szCs w:val="44"/>
          <w:lang w:val="en-US" w:eastAsia="zh-CN"/>
        </w:rPr>
        <w:t>附件（5月28日考试）</w:t>
      </w:r>
    </w:p>
    <w:p>
      <w:pPr>
        <w:adjustRightInd/>
        <w:snapToGrid w:val="0"/>
        <w:spacing w:beforeLines="0" w:afterLines="0" w:line="500" w:lineRule="exact"/>
        <w:jc w:val="center"/>
        <w:rPr>
          <w:rFonts w:hint="eastAsia" w:ascii="黑体" w:hAnsi="黑体" w:eastAsia="黑体" w:cs="黑体"/>
          <w:sz w:val="32"/>
          <w:szCs w:val="32"/>
        </w:rPr>
      </w:pPr>
      <w:r>
        <w:rPr>
          <w:rFonts w:hint="eastAsia" w:ascii="黑体" w:hAnsi="黑体" w:eastAsia="黑体" w:cs="黑体"/>
          <w:sz w:val="32"/>
          <w:szCs w:val="32"/>
        </w:rPr>
        <w:t>2022年</w:t>
      </w:r>
      <w:r>
        <w:rPr>
          <w:rFonts w:hint="eastAsia" w:ascii="黑体" w:hAnsi="黑体" w:eastAsia="黑体" w:cs="黑体"/>
          <w:sz w:val="32"/>
          <w:szCs w:val="32"/>
          <w:lang w:val="en-US" w:eastAsia="zh-CN"/>
        </w:rPr>
        <w:t>申请</w:t>
      </w:r>
      <w:r>
        <w:rPr>
          <w:rFonts w:hint="eastAsia" w:ascii="黑体" w:hAnsi="黑体" w:eastAsia="黑体" w:cs="黑体"/>
          <w:sz w:val="32"/>
          <w:szCs w:val="32"/>
        </w:rPr>
        <w:t>成人学士学位广东高校联盟外语水平考试</w:t>
      </w:r>
    </w:p>
    <w:p>
      <w:pPr>
        <w:adjustRightInd/>
        <w:snapToGrid w:val="0"/>
        <w:spacing w:beforeLines="0" w:afterLines="0" w:line="500" w:lineRule="exact"/>
        <w:jc w:val="center"/>
        <w:rPr>
          <w:rFonts w:hint="eastAsia" w:ascii="黑体" w:hAnsi="黑体" w:eastAsia="黑体" w:cs="黑体"/>
          <w:sz w:val="32"/>
          <w:szCs w:val="32"/>
        </w:rPr>
      </w:pPr>
      <w:r>
        <w:rPr>
          <w:rFonts w:hint="eastAsia" w:ascii="黑体" w:hAnsi="黑体" w:eastAsia="黑体" w:cs="黑体"/>
          <w:sz w:val="32"/>
          <w:szCs w:val="32"/>
        </w:rPr>
        <w:t>健康信息申报表</w:t>
      </w:r>
    </w:p>
    <w:p>
      <w:pPr>
        <w:snapToGrid w:val="0"/>
        <w:spacing w:line="500" w:lineRule="exact"/>
        <w:jc w:val="left"/>
        <w:rPr>
          <w:rFonts w:ascii="Times New Roman" w:hAnsi="Times New Roman" w:eastAsia="黑体"/>
          <w:sz w:val="24"/>
          <w:szCs w:val="24"/>
        </w:rPr>
      </w:pPr>
    </w:p>
    <w:p>
      <w:pPr>
        <w:snapToGrid w:val="0"/>
        <w:spacing w:line="500" w:lineRule="exact"/>
        <w:jc w:val="left"/>
        <w:rPr>
          <w:rFonts w:ascii="Times New Roman" w:hAnsi="Times New Roman" w:eastAsia="黑体"/>
          <w:sz w:val="24"/>
          <w:szCs w:val="24"/>
          <w:u w:val="single"/>
        </w:rPr>
      </w:pPr>
      <w:r>
        <w:rPr>
          <w:rFonts w:ascii="Times New Roman" w:hAnsi="Times New Roman" w:eastAsia="黑体"/>
          <w:sz w:val="24"/>
          <w:szCs w:val="24"/>
        </w:rPr>
        <w:t>姓名（签名）：</w:t>
      </w:r>
      <w:r>
        <w:rPr>
          <w:rFonts w:ascii="Times New Roman" w:hAnsi="Times New Roman" w:eastAsia="黑体"/>
          <w:sz w:val="24"/>
          <w:szCs w:val="24"/>
          <w:u w:val="single"/>
        </w:rPr>
        <w:t xml:space="preserve">                      </w:t>
      </w:r>
      <w:r>
        <w:rPr>
          <w:rFonts w:ascii="Times New Roman" w:hAnsi="Times New Roman" w:eastAsia="黑体"/>
          <w:sz w:val="24"/>
          <w:szCs w:val="24"/>
        </w:rPr>
        <w:t>身份证号码：</w:t>
      </w:r>
      <w:r>
        <w:rPr>
          <w:rFonts w:ascii="Times New Roman" w:hAnsi="Times New Roman" w:eastAsia="黑体"/>
          <w:sz w:val="24"/>
          <w:szCs w:val="24"/>
          <w:u w:val="single"/>
        </w:rPr>
        <w:t xml:space="preserve">                    </w:t>
      </w:r>
    </w:p>
    <w:p>
      <w:pPr>
        <w:snapToGrid w:val="0"/>
        <w:spacing w:line="500" w:lineRule="exact"/>
        <w:jc w:val="left"/>
        <w:rPr>
          <w:rFonts w:ascii="Times New Roman" w:hAnsi="Times New Roman" w:eastAsia="黑体"/>
          <w:sz w:val="24"/>
          <w:szCs w:val="24"/>
          <w:u w:val="single"/>
        </w:rPr>
      </w:pPr>
      <w:r>
        <w:rPr>
          <w:rFonts w:ascii="Times New Roman" w:hAnsi="Times New Roman" w:eastAsia="黑体"/>
          <w:sz w:val="24"/>
          <w:szCs w:val="24"/>
        </w:rPr>
        <w:t>准考证号码：</w:t>
      </w:r>
      <w:r>
        <w:rPr>
          <w:rFonts w:ascii="Times New Roman" w:hAnsi="Times New Roman" w:eastAsia="黑体"/>
          <w:sz w:val="24"/>
          <w:szCs w:val="24"/>
          <w:u w:val="single"/>
        </w:rPr>
        <w:t xml:space="preserve">                      </w:t>
      </w:r>
      <w:r>
        <w:rPr>
          <w:rFonts w:ascii="Times New Roman" w:hAnsi="Times New Roman" w:eastAsia="黑体"/>
          <w:sz w:val="24"/>
          <w:szCs w:val="24"/>
        </w:rPr>
        <w:t xml:space="preserve"> 联系电话：</w:t>
      </w:r>
      <w:r>
        <w:rPr>
          <w:rFonts w:ascii="Times New Roman" w:hAnsi="Times New Roman" w:eastAsia="黑体"/>
          <w:sz w:val="24"/>
          <w:szCs w:val="24"/>
          <w:u w:val="single"/>
        </w:rPr>
        <w:t xml:space="preserve">                      </w:t>
      </w:r>
    </w:p>
    <w:p>
      <w:pPr>
        <w:pStyle w:val="2"/>
      </w:pPr>
    </w:p>
    <w:tbl>
      <w:tblPr>
        <w:tblStyle w:val="9"/>
        <w:tblW w:w="10020" w:type="dxa"/>
        <w:jc w:val="center"/>
        <w:tblLayout w:type="fixed"/>
        <w:tblCellMar>
          <w:top w:w="15" w:type="dxa"/>
          <w:left w:w="15" w:type="dxa"/>
          <w:bottom w:w="15" w:type="dxa"/>
          <w:right w:w="15" w:type="dxa"/>
        </w:tblCellMar>
      </w:tblPr>
      <w:tblGrid>
        <w:gridCol w:w="529"/>
        <w:gridCol w:w="975"/>
        <w:gridCol w:w="568"/>
        <w:gridCol w:w="2833"/>
        <w:gridCol w:w="1335"/>
        <w:gridCol w:w="720"/>
        <w:gridCol w:w="2009"/>
        <w:gridCol w:w="1051"/>
      </w:tblGrid>
      <w:tr>
        <w:tblPrEx>
          <w:tblCellMar>
            <w:top w:w="15" w:type="dxa"/>
            <w:left w:w="15" w:type="dxa"/>
            <w:bottom w:w="15" w:type="dxa"/>
            <w:right w:w="15" w:type="dxa"/>
          </w:tblCellMar>
        </w:tblPrEx>
        <w:trPr>
          <w:trHeight w:val="236" w:hRule="atLeast"/>
          <w:tblHeader/>
          <w:jc w:val="center"/>
        </w:trPr>
        <w:tc>
          <w:tcPr>
            <w:tcW w:w="52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序号</w:t>
            </w:r>
          </w:p>
        </w:tc>
        <w:tc>
          <w:tcPr>
            <w:tcW w:w="97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日期</w:t>
            </w:r>
          </w:p>
        </w:tc>
        <w:tc>
          <w:tcPr>
            <w:tcW w:w="3401"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健康信息</w:t>
            </w:r>
          </w:p>
        </w:tc>
        <w:tc>
          <w:tcPr>
            <w:tcW w:w="4064"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行程记录</w:t>
            </w:r>
          </w:p>
        </w:tc>
        <w:tc>
          <w:tcPr>
            <w:tcW w:w="105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 w:val="20"/>
                <w:szCs w:val="20"/>
              </w:rPr>
            </w:pPr>
            <w:r>
              <w:rPr>
                <w:rFonts w:ascii="Times New Roman" w:hAnsi="Times New Roman" w:eastAsia="黑体"/>
                <w:kern w:val="0"/>
                <w:szCs w:val="20"/>
                <w:lang w:bidi="ar"/>
              </w:rPr>
              <w:t>14天内是否与确诊病例接触</w:t>
            </w:r>
          </w:p>
        </w:tc>
      </w:tr>
      <w:tr>
        <w:tblPrEx>
          <w:tblCellMar>
            <w:top w:w="15" w:type="dxa"/>
            <w:left w:w="15" w:type="dxa"/>
            <w:bottom w:w="15" w:type="dxa"/>
            <w:right w:w="15" w:type="dxa"/>
          </w:tblCellMar>
        </w:tblPrEx>
        <w:trPr>
          <w:trHeight w:val="531" w:hRule="atLeast"/>
          <w:tblHeader/>
          <w:jc w:val="center"/>
        </w:trPr>
        <w:tc>
          <w:tcPr>
            <w:tcW w:w="529"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975"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3401"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黑体"/>
                <w:szCs w:val="20"/>
              </w:rPr>
            </w:pP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是否离开过</w:t>
            </w:r>
            <w:r>
              <w:rPr>
                <w:rFonts w:hint="eastAsia" w:ascii="Times New Roman" w:hAnsi="Times New Roman" w:eastAsia="黑体"/>
                <w:kern w:val="0"/>
                <w:szCs w:val="20"/>
                <w:lang w:eastAsia="zh-CN" w:bidi="ar"/>
              </w:rPr>
              <w:t>考点所在地级市</w:t>
            </w:r>
          </w:p>
        </w:tc>
        <w:tc>
          <w:tcPr>
            <w:tcW w:w="2729"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黑体"/>
                <w:kern w:val="0"/>
                <w:szCs w:val="20"/>
                <w:lang w:bidi="ar"/>
              </w:rPr>
            </w:pPr>
            <w:r>
              <w:rPr>
                <w:rFonts w:ascii="Times New Roman" w:hAnsi="Times New Roman" w:eastAsia="黑体"/>
                <w:kern w:val="0"/>
                <w:szCs w:val="20"/>
                <w:lang w:bidi="ar"/>
              </w:rPr>
              <w:t>是否去过疫情高、中风险及</w:t>
            </w:r>
          </w:p>
          <w:p>
            <w:pPr>
              <w:widowControl/>
              <w:adjustRightInd w:val="0"/>
              <w:snapToGrid w:val="0"/>
              <w:jc w:val="center"/>
              <w:textAlignment w:val="center"/>
              <w:rPr>
                <w:rFonts w:ascii="Times New Roman" w:hAnsi="Times New Roman" w:eastAsia="黑体"/>
                <w:szCs w:val="20"/>
              </w:rPr>
            </w:pPr>
            <w:r>
              <w:rPr>
                <w:rFonts w:ascii="Times New Roman" w:hAnsi="Times New Roman" w:eastAsia="黑体"/>
                <w:kern w:val="0"/>
                <w:szCs w:val="20"/>
                <w:lang w:bidi="ar"/>
              </w:rPr>
              <w:t>重点地区</w:t>
            </w:r>
          </w:p>
        </w:tc>
        <w:tc>
          <w:tcPr>
            <w:tcW w:w="1051" w:type="dxa"/>
            <w:vMerge w:val="continue"/>
            <w:tcBorders>
              <w:top w:val="single" w:color="000000" w:sz="4" w:space="0"/>
              <w:left w:val="single" w:color="000000" w:sz="4" w:space="0"/>
              <w:bottom w:val="single" w:color="000000" w:sz="4" w:space="0"/>
              <w:right w:val="single" w:color="000000" w:sz="4" w:space="0"/>
            </w:tcBorders>
            <w:noWrap w:val="0"/>
            <w:vAlign w:val="center"/>
          </w:tcPr>
          <w:p>
            <w:pPr>
              <w:adjustRightInd w:val="0"/>
              <w:snapToGrid w:val="0"/>
              <w:jc w:val="center"/>
              <w:rPr>
                <w:rFonts w:ascii="Times New Roman" w:hAnsi="Times New Roman" w:eastAsia="仿宋_GB2312"/>
                <w:b/>
                <w:sz w:val="20"/>
                <w:szCs w:val="20"/>
              </w:rPr>
            </w:pPr>
          </w:p>
        </w:tc>
      </w:tr>
      <w:tr>
        <w:tblPrEx>
          <w:tblCellMar>
            <w:top w:w="15" w:type="dxa"/>
            <w:left w:w="15" w:type="dxa"/>
            <w:bottom w:w="15" w:type="dxa"/>
            <w:right w:w="15" w:type="dxa"/>
          </w:tblCellMar>
        </w:tblPrEx>
        <w:trPr>
          <w:trHeight w:val="54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14</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2</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15</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7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3</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16</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1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4</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17</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3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5</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18</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6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6</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19</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7</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20</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9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8</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21</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5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9</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22</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2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10</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cs="宋体"/>
                <w:kern w:val="2"/>
                <w:sz w:val="20"/>
                <w:szCs w:val="20"/>
                <w:lang w:val="en-US" w:eastAsia="zh-CN" w:bidi="ar-SA"/>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23</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8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11</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24</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46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12</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25</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8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13</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26</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599"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14</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hint="eastAsia" w:ascii="Times New Roman" w:hAnsi="Times New Roman" w:eastAsia="仿宋_GB2312"/>
                <w:kern w:val="0"/>
                <w:sz w:val="20"/>
                <w:szCs w:val="20"/>
                <w:lang w:val="en-US" w:eastAsia="zh-CN" w:bidi="ar"/>
              </w:rPr>
              <w:t>5</w:t>
            </w:r>
            <w:r>
              <w:rPr>
                <w:rFonts w:ascii="Times New Roman" w:hAnsi="Times New Roman" w:eastAsia="仿宋_GB2312"/>
                <w:kern w:val="0"/>
                <w:sz w:val="20"/>
                <w:szCs w:val="20"/>
                <w:lang w:bidi="ar"/>
              </w:rPr>
              <w:t>月</w:t>
            </w:r>
            <w:r>
              <w:rPr>
                <w:rFonts w:hint="eastAsia" w:ascii="Times New Roman" w:hAnsi="Times New Roman" w:eastAsia="仿宋_GB2312"/>
                <w:kern w:val="0"/>
                <w:sz w:val="20"/>
                <w:szCs w:val="20"/>
                <w:lang w:val="en-US" w:eastAsia="zh-CN" w:bidi="ar"/>
              </w:rPr>
              <w:t>27</w:t>
            </w:r>
            <w:r>
              <w:rPr>
                <w:rFonts w:ascii="Times New Roman" w:hAnsi="Times New Roman" w:eastAsia="仿宋_GB2312"/>
                <w:kern w:val="0"/>
                <w:sz w:val="20"/>
                <w:szCs w:val="20"/>
                <w:lang w:bidi="ar"/>
              </w:rPr>
              <w:t>日</w:t>
            </w: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□正常</w:t>
            </w: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□异常；具体情况：</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□否</w:t>
            </w: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□是；具体地点：</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r>
              <w:rPr>
                <w:rFonts w:ascii="Times New Roman" w:hAnsi="Times New Roman" w:eastAsia="仿宋_GB2312"/>
                <w:kern w:val="0"/>
                <w:sz w:val="20"/>
                <w:szCs w:val="20"/>
                <w:lang w:bidi="ar"/>
              </w:rPr>
              <w:t>□是  □否</w:t>
            </w:r>
          </w:p>
        </w:tc>
      </w:tr>
      <w:tr>
        <w:tblPrEx>
          <w:tblCellMar>
            <w:top w:w="15" w:type="dxa"/>
            <w:left w:w="15" w:type="dxa"/>
            <w:bottom w:w="15" w:type="dxa"/>
            <w:right w:w="15" w:type="dxa"/>
          </w:tblCellMar>
        </w:tblPrEx>
        <w:trPr>
          <w:trHeight w:val="324" w:hRule="atLeast"/>
          <w:jc w:val="center"/>
        </w:trPr>
        <w:tc>
          <w:tcPr>
            <w:tcW w:w="529"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56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2833"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c>
          <w:tcPr>
            <w:tcW w:w="2009" w:type="dxa"/>
            <w:tcBorders>
              <w:top w:val="single" w:color="000000" w:sz="4" w:space="0"/>
              <w:left w:val="single" w:color="000000" w:sz="4" w:space="0"/>
              <w:bottom w:val="single" w:color="000000" w:sz="4" w:space="0"/>
              <w:right w:val="single" w:color="000000" w:sz="4" w:space="0"/>
            </w:tcBorders>
            <w:noWrap w:val="0"/>
            <w:vAlign w:val="top"/>
          </w:tcPr>
          <w:p>
            <w:pPr>
              <w:widowControl/>
              <w:adjustRightInd w:val="0"/>
              <w:snapToGrid w:val="0"/>
              <w:textAlignment w:val="center"/>
              <w:rPr>
                <w:rFonts w:ascii="Times New Roman" w:hAnsi="Times New Roman" w:eastAsia="仿宋_GB2312"/>
                <w:sz w:val="20"/>
                <w:szCs w:val="20"/>
              </w:rPr>
            </w:pPr>
          </w:p>
        </w:tc>
        <w:tc>
          <w:tcPr>
            <w:tcW w:w="105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val="0"/>
              <w:snapToGrid w:val="0"/>
              <w:jc w:val="center"/>
              <w:textAlignment w:val="center"/>
              <w:rPr>
                <w:rFonts w:ascii="Times New Roman" w:hAnsi="Times New Roman" w:eastAsia="仿宋_GB2312"/>
                <w:sz w:val="20"/>
                <w:szCs w:val="20"/>
              </w:rPr>
            </w:pPr>
          </w:p>
        </w:tc>
      </w:tr>
    </w:tbl>
    <w:p>
      <w:pPr>
        <w:pStyle w:val="2"/>
        <w:snapToGrid w:val="0"/>
        <w:spacing w:beforeLines="0" w:afterLines="0" w:line="360" w:lineRule="exact"/>
        <w:ind w:left="0" w:leftChars="0" w:firstLine="0" w:firstLineChars="0"/>
        <w:jc w:val="left"/>
        <w:rPr>
          <w:rFonts w:ascii="Times New Roman" w:hAnsi="Times New Roman" w:eastAsia="宋体"/>
          <w:sz w:val="21"/>
        </w:rPr>
      </w:pPr>
      <w:r>
        <w:rPr>
          <w:rFonts w:ascii="Times New Roman" w:hAnsi="Times New Roman" w:eastAsia="仿宋_GB2312"/>
          <w:sz w:val="24"/>
        </w:rPr>
        <w:t>注: 1.考生须认真、如实申报，在相应的</w:t>
      </w:r>
      <w:r>
        <w:rPr>
          <w:rFonts w:ascii="Times New Roman" w:hAnsi="Times New Roman"/>
          <w:kern w:val="0"/>
          <w:sz w:val="20"/>
          <w:szCs w:val="20"/>
          <w:lang w:bidi="ar"/>
        </w:rPr>
        <w:t>□内打√</w:t>
      </w:r>
      <w:r>
        <w:rPr>
          <w:rFonts w:ascii="Times New Roman" w:hAnsi="Times New Roman" w:eastAsia="仿宋_GB2312"/>
          <w:sz w:val="24"/>
        </w:rPr>
        <w:t>。如出现感冒样症状，喘憋、呼吸急促恶心呕吐、腹泻，心慌、胸闷，结膜炎以及其他异常的须如实填写信息情况。</w:t>
      </w:r>
    </w:p>
    <w:p>
      <w:pPr>
        <w:adjustRightInd w:val="0"/>
        <w:snapToGrid w:val="0"/>
        <w:spacing w:beforeLines="0" w:afterLines="0" w:line="360" w:lineRule="exact"/>
        <w:ind w:firstLine="480" w:firstLineChars="200"/>
        <w:jc w:val="left"/>
        <w:rPr>
          <w:rFonts w:hint="eastAsia"/>
        </w:rPr>
      </w:pPr>
      <w:r>
        <w:rPr>
          <w:rFonts w:ascii="Times New Roman" w:hAnsi="Times New Roman" w:eastAsia="仿宋_GB2312"/>
          <w:sz w:val="24"/>
        </w:rPr>
        <w:t>2.考生应自行打印、填写本申报表，</w:t>
      </w:r>
      <w:r>
        <w:rPr>
          <w:rFonts w:hint="eastAsia" w:ascii="Times New Roman" w:hAnsi="Times New Roman" w:eastAsia="仿宋_GB2312"/>
          <w:sz w:val="24"/>
          <w:lang w:eastAsia="zh-CN"/>
        </w:rPr>
        <w:t>进入考试</w:t>
      </w:r>
      <w:r>
        <w:rPr>
          <w:rFonts w:ascii="Times New Roman" w:hAnsi="Times New Roman" w:eastAsia="仿宋_GB2312"/>
          <w:sz w:val="24"/>
        </w:rPr>
        <w:t>考点时</w:t>
      </w:r>
      <w:r>
        <w:rPr>
          <w:rFonts w:hint="eastAsia" w:ascii="Times New Roman" w:hAnsi="Times New Roman" w:eastAsia="仿宋_GB2312"/>
          <w:sz w:val="24"/>
          <w:lang w:eastAsia="zh-CN"/>
        </w:rPr>
        <w:t>，须</w:t>
      </w:r>
      <w:r>
        <w:rPr>
          <w:rFonts w:ascii="Times New Roman" w:hAnsi="Times New Roman" w:eastAsia="仿宋_GB2312"/>
          <w:sz w:val="24"/>
        </w:rPr>
        <w:t>向</w:t>
      </w:r>
      <w:r>
        <w:rPr>
          <w:rFonts w:hint="eastAsia" w:ascii="Times New Roman" w:hAnsi="Times New Roman" w:eastAsia="仿宋_GB2312"/>
          <w:sz w:val="24"/>
          <w:lang w:eastAsia="zh-CN"/>
        </w:rPr>
        <w:t>考点</w:t>
      </w:r>
      <w:r>
        <w:rPr>
          <w:rFonts w:ascii="Times New Roman" w:hAnsi="Times New Roman" w:eastAsia="仿宋_GB2312"/>
          <w:sz w:val="24"/>
        </w:rPr>
        <w:t>工作人员提</w:t>
      </w:r>
      <w:r>
        <w:rPr>
          <w:rFonts w:hint="eastAsia" w:ascii="Times New Roman" w:hAnsi="Times New Roman" w:eastAsia="仿宋_GB2312"/>
          <w:sz w:val="24"/>
          <w:lang w:eastAsia="zh-CN"/>
        </w:rPr>
        <w:t>交本申报表</w:t>
      </w:r>
      <w:r>
        <w:rPr>
          <w:rFonts w:ascii="Times New Roman" w:hAnsi="Times New Roman" w:eastAsia="仿宋_GB2312"/>
          <w:sz w:val="24"/>
        </w:rPr>
        <w:t>。</w:t>
      </w:r>
    </w:p>
    <w:p>
      <w:pPr>
        <w:rPr>
          <w:rFonts w:hint="eastAsia"/>
        </w:rPr>
      </w:pPr>
    </w:p>
    <w:sectPr>
      <w:pgSz w:w="11906" w:h="16838"/>
      <w:pgMar w:top="1134" w:right="1417" w:bottom="1134" w:left="141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04D7A7"/>
    <w:multiLevelType w:val="singleLevel"/>
    <w:tmpl w:val="7B04D7A7"/>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U5YWIzOTgxZmVmNTUyZDA1N2YwOTFkYmY4NGJhNDAifQ=="/>
  </w:docVars>
  <w:rsids>
    <w:rsidRoot w:val="003949B6"/>
    <w:rsid w:val="000275D5"/>
    <w:rsid w:val="00125EDB"/>
    <w:rsid w:val="00190CE0"/>
    <w:rsid w:val="00387822"/>
    <w:rsid w:val="003949B6"/>
    <w:rsid w:val="00401516"/>
    <w:rsid w:val="0042124F"/>
    <w:rsid w:val="00563462"/>
    <w:rsid w:val="00635601"/>
    <w:rsid w:val="0067433C"/>
    <w:rsid w:val="006E47E2"/>
    <w:rsid w:val="007271DB"/>
    <w:rsid w:val="007C750B"/>
    <w:rsid w:val="00885EAD"/>
    <w:rsid w:val="00943174"/>
    <w:rsid w:val="00971ED6"/>
    <w:rsid w:val="0097788F"/>
    <w:rsid w:val="009B0C74"/>
    <w:rsid w:val="00A1068C"/>
    <w:rsid w:val="00A378D0"/>
    <w:rsid w:val="00AF2B54"/>
    <w:rsid w:val="00B27C98"/>
    <w:rsid w:val="00BB1013"/>
    <w:rsid w:val="00C4030A"/>
    <w:rsid w:val="00C72D34"/>
    <w:rsid w:val="00CA6DE1"/>
    <w:rsid w:val="00CC6D43"/>
    <w:rsid w:val="00CE24E4"/>
    <w:rsid w:val="00DB02CC"/>
    <w:rsid w:val="00DB41B2"/>
    <w:rsid w:val="00DF48EF"/>
    <w:rsid w:val="00F20D01"/>
    <w:rsid w:val="00F57457"/>
    <w:rsid w:val="024D7826"/>
    <w:rsid w:val="06987C9F"/>
    <w:rsid w:val="08FB2C0B"/>
    <w:rsid w:val="0AF00198"/>
    <w:rsid w:val="0EAB476E"/>
    <w:rsid w:val="124D44D7"/>
    <w:rsid w:val="135E70DE"/>
    <w:rsid w:val="17672573"/>
    <w:rsid w:val="19E03A4C"/>
    <w:rsid w:val="1DDB31C4"/>
    <w:rsid w:val="1E5D13C9"/>
    <w:rsid w:val="285C5C6C"/>
    <w:rsid w:val="292F3E37"/>
    <w:rsid w:val="2C585D87"/>
    <w:rsid w:val="2DF27DB7"/>
    <w:rsid w:val="2F740AB5"/>
    <w:rsid w:val="3B450924"/>
    <w:rsid w:val="3CB34BC3"/>
    <w:rsid w:val="41646408"/>
    <w:rsid w:val="41D80161"/>
    <w:rsid w:val="42346199"/>
    <w:rsid w:val="423544BC"/>
    <w:rsid w:val="42431203"/>
    <w:rsid w:val="431C301D"/>
    <w:rsid w:val="47E27C99"/>
    <w:rsid w:val="4A0A2CF1"/>
    <w:rsid w:val="4ACA1B8C"/>
    <w:rsid w:val="4B284BDC"/>
    <w:rsid w:val="4B2F5617"/>
    <w:rsid w:val="4E107A78"/>
    <w:rsid w:val="4ED831F3"/>
    <w:rsid w:val="53DD6FA9"/>
    <w:rsid w:val="53FB136D"/>
    <w:rsid w:val="55AA5FE5"/>
    <w:rsid w:val="582D30F4"/>
    <w:rsid w:val="5A377D1D"/>
    <w:rsid w:val="5D6058BC"/>
    <w:rsid w:val="6475516A"/>
    <w:rsid w:val="68A41C44"/>
    <w:rsid w:val="70714797"/>
    <w:rsid w:val="71B47F05"/>
    <w:rsid w:val="77D9076E"/>
    <w:rsid w:val="78F65A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BodyText1I2"/>
    <w:basedOn w:val="3"/>
    <w:next w:val="1"/>
    <w:qFormat/>
    <w:uiPriority w:val="0"/>
    <w:pPr>
      <w:ind w:firstLine="420" w:firstLineChars="200"/>
    </w:pPr>
    <w:rPr>
      <w:rFonts w:ascii="Times New Roman" w:hAnsi="Times New Roman" w:eastAsia="宋体" w:cs="Times New Roman"/>
    </w:rPr>
  </w:style>
  <w:style w:type="paragraph" w:customStyle="1" w:styleId="3">
    <w:name w:val="BodyTextIndent"/>
    <w:basedOn w:val="1"/>
    <w:qFormat/>
    <w:uiPriority w:val="0"/>
    <w:pPr>
      <w:ind w:firstLine="720" w:firstLineChars="225"/>
      <w:textAlignment w:val="baseline"/>
    </w:pPr>
    <w:rPr>
      <w:rFonts w:ascii="仿宋_GB2312" w:hAnsi="Times New Roman" w:eastAsia="宋体" w:cs="Times New Roman"/>
      <w:szCs w:val="32"/>
    </w:rPr>
  </w:style>
  <w:style w:type="paragraph" w:styleId="5">
    <w:name w:val="Balloon Text"/>
    <w:basedOn w:val="1"/>
    <w:link w:val="21"/>
    <w:semiHidden/>
    <w:unhideWhenUsed/>
    <w:qFormat/>
    <w:uiPriority w:val="99"/>
    <w:rPr>
      <w:sz w:val="18"/>
      <w:szCs w:val="18"/>
    </w:r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1">
    <w:name w:val="Strong"/>
    <w:basedOn w:val="10"/>
    <w:qFormat/>
    <w:uiPriority w:val="22"/>
    <w:rPr>
      <w:b/>
      <w:bCs/>
    </w:rPr>
  </w:style>
  <w:style w:type="character" w:styleId="12">
    <w:name w:val="Hyperlink"/>
    <w:basedOn w:val="10"/>
    <w:unhideWhenUsed/>
    <w:qFormat/>
    <w:uiPriority w:val="99"/>
    <w:rPr>
      <w:color w:val="0000FF"/>
      <w:u w:val="single"/>
    </w:rPr>
  </w:style>
  <w:style w:type="character" w:customStyle="1" w:styleId="13">
    <w:name w:val="页眉 字符"/>
    <w:basedOn w:val="10"/>
    <w:link w:val="7"/>
    <w:semiHidden/>
    <w:qFormat/>
    <w:uiPriority w:val="99"/>
    <w:rPr>
      <w:sz w:val="18"/>
      <w:szCs w:val="18"/>
    </w:rPr>
  </w:style>
  <w:style w:type="character" w:customStyle="1" w:styleId="14">
    <w:name w:val="页脚 字符"/>
    <w:basedOn w:val="10"/>
    <w:link w:val="6"/>
    <w:semiHidden/>
    <w:qFormat/>
    <w:uiPriority w:val="99"/>
    <w:rPr>
      <w:sz w:val="18"/>
      <w:szCs w:val="18"/>
    </w:rPr>
  </w:style>
  <w:style w:type="character" w:customStyle="1" w:styleId="15">
    <w:name w:val="timestyle53824"/>
    <w:basedOn w:val="10"/>
    <w:qFormat/>
    <w:uiPriority w:val="0"/>
  </w:style>
  <w:style w:type="character" w:customStyle="1" w:styleId="16">
    <w:name w:val="authorstyle53824"/>
    <w:basedOn w:val="10"/>
    <w:qFormat/>
    <w:uiPriority w:val="0"/>
  </w:style>
  <w:style w:type="character" w:customStyle="1" w:styleId="17">
    <w:name w:val="clickstyle53824"/>
    <w:basedOn w:val="10"/>
    <w:qFormat/>
    <w:uiPriority w:val="0"/>
  </w:style>
  <w:style w:type="paragraph" w:customStyle="1" w:styleId="18">
    <w:name w:val="vsbcontent_start"/>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9">
    <w:name w:val="vsbcontent_img"/>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0">
    <w:name w:val="vsbcontent_end"/>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21">
    <w:name w:val="批注框文本 字符"/>
    <w:basedOn w:val="10"/>
    <w:link w:val="5"/>
    <w:semiHidden/>
    <w:qFormat/>
    <w:uiPriority w:val="99"/>
    <w:rPr>
      <w:sz w:val="18"/>
      <w:szCs w:val="18"/>
    </w:rPr>
  </w:style>
  <w:style w:type="paragraph" w:styleId="2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7</Pages>
  <Words>3718</Words>
  <Characters>3816</Characters>
  <Lines>10</Lines>
  <Paragraphs>2</Paragraphs>
  <TotalTime>5</TotalTime>
  <ScaleCrop>false</ScaleCrop>
  <LinksUpToDate>false</LinksUpToDate>
  <CharactersWithSpaces>4108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2020-09-23T07:05:00Z</dcterms:created>
  <dc:creator>Sky123.Org</dc:creator>
  <cp:lastModifiedBy>sjqni</cp:lastModifiedBy>
  <cp:lastPrinted>2022-03-29T04:51:00Z</cp:lastPrinted>
  <dcterms:modified xsi:type="dcterms:W3CDTF">2022-05-11T04:09:48Z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4BF75D42791A429986F66C6327D14ACE</vt:lpwstr>
  </property>
</Properties>
</file>